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82ED">
      <w:pPr>
        <w:spacing w:line="560" w:lineRule="exact"/>
        <w:rPr>
          <w:rFonts w:hAnsi="Times New Roman" w:eastAsia="仿宋_GB2312" w:cs="Times New Roman"/>
          <w:sz w:val="32"/>
          <w:szCs w:val="28"/>
        </w:rPr>
      </w:pPr>
      <w:r>
        <w:rPr>
          <w:rFonts w:hAnsi="Times New Roman" w:eastAsia="仿宋_GB2312" w:cs="Times New Roman"/>
          <w:sz w:val="32"/>
          <w:szCs w:val="28"/>
        </w:rPr>
        <w:t>附件</w:t>
      </w:r>
      <w:r>
        <w:rPr>
          <w:rFonts w:hint="eastAsia" w:hAnsi="Times New Roman" w:eastAsia="仿宋_GB2312" w:cs="Times New Roman"/>
          <w:sz w:val="32"/>
          <w:szCs w:val="28"/>
          <w:lang w:val="en-US" w:eastAsia="zh-CN"/>
        </w:rPr>
        <w:t>2</w:t>
      </w:r>
      <w:bookmarkStart w:id="0" w:name="_GoBack"/>
      <w:bookmarkEnd w:id="0"/>
      <w:r>
        <w:rPr>
          <w:rFonts w:hAnsi="Times New Roman" w:eastAsia="仿宋_GB2312" w:cs="Times New Roman"/>
          <w:sz w:val="32"/>
          <w:szCs w:val="28"/>
        </w:rPr>
        <w:t>：</w:t>
      </w:r>
    </w:p>
    <w:p w14:paraId="4FBC888A">
      <w:pPr>
        <w:jc w:val="center"/>
        <w:rPr>
          <w:rFonts w:hAnsi="Times New Roman" w:eastAsia="方正小标宋简体" w:cs="Times New Roman"/>
          <w:bCs/>
          <w:sz w:val="44"/>
          <w:szCs w:val="44"/>
        </w:rPr>
      </w:pPr>
      <w:r>
        <w:rPr>
          <w:rFonts w:hAnsi="Times New Roman" w:eastAsia="方正小标宋简体" w:cs="Times New Roman"/>
          <w:bCs/>
          <w:sz w:val="44"/>
          <w:szCs w:val="44"/>
        </w:rPr>
        <w:t>第二十四届“创新杯”大学生创业计划竞赛组织实施细则</w:t>
      </w:r>
    </w:p>
    <w:p w14:paraId="2FF83170">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为培养和提高大学生的创造精神、创新意识和创业能力，促进我校学生就业创业教育、创业实践活动的蓬勃开展，在全校范围内营造大众创业，万众创新的校园文化氛围，校团委决定举办第二十四届“创新杯”大学生创业计划竞赛，现将有关事宜通知如下：</w:t>
      </w:r>
    </w:p>
    <w:p w14:paraId="2C99BC4F">
      <w:pPr>
        <w:ind w:firstLine="539"/>
        <w:rPr>
          <w:rFonts w:hAnsi="Times New Roman" w:eastAsia="黑体" w:cs="Times New Roman"/>
          <w:sz w:val="32"/>
          <w:szCs w:val="28"/>
        </w:rPr>
      </w:pPr>
      <w:r>
        <w:rPr>
          <w:rFonts w:hAnsi="Times New Roman" w:eastAsia="黑体" w:cs="Times New Roman"/>
          <w:sz w:val="32"/>
          <w:szCs w:val="28"/>
        </w:rPr>
        <w:t>一、参赛对象</w:t>
      </w:r>
    </w:p>
    <w:p w14:paraId="3529F1E1">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凡在2024年6月1日以前正式注册的我校全日制非成人教育本科生、硕士研究生（均不含在职研究生）均可申报。硕博连读生、直接攻读博士生若在举办竞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做项目负责人）且人数不超过团队成员数量的 30%。</w:t>
      </w:r>
    </w:p>
    <w:p w14:paraId="661CE7F7">
      <w:pPr>
        <w:ind w:firstLine="539"/>
        <w:rPr>
          <w:rFonts w:hAnsi="Times New Roman" w:eastAsia="黑体" w:cs="Times New Roman"/>
          <w:sz w:val="32"/>
          <w:szCs w:val="28"/>
        </w:rPr>
      </w:pPr>
      <w:r>
        <w:rPr>
          <w:rFonts w:hAnsi="Times New Roman" w:eastAsia="黑体" w:cs="Times New Roman"/>
          <w:sz w:val="32"/>
          <w:szCs w:val="28"/>
        </w:rPr>
        <w:t>二、申报作品要求</w:t>
      </w:r>
    </w:p>
    <w:p w14:paraId="46368979">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1、申报作品以学院为单位统一申报，参赛者自行组成学科优势互补、专业配备科学、人员结构合理的创业团队，以创业团队形式参赛，原则上每个参赛团队人数不超过10人；鼓励跨学院参赛，对于跨学院组队参赛的项目，团队成员须事先协商明确项目的申报学院，建议创业团队法人、未创业团队队长所在学院为申报学院。</w:t>
      </w:r>
    </w:p>
    <w:p w14:paraId="57BDAA37">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2、对于经授权的发明创造或专利技术，在报名时需提交具有法律效力的发明创造或专利技术所有人的书面授权许可、项目鉴定证书、专利证书等；对于已注册运营项目的，在报名时需提交相关证明材料（含单位概况、法定代表人情况、营业执照复印件、税务登记证复印件、组织机构代码复印件等材料）。已工商注册项目的负责人须为企业法人代表。企业法人代表在通知发布之日后进行变更的不予认可。参赛项目可提供项目实践成效、预期成效等其他相关材料（包括项目的社会效益、经济效益、带动就业情况等）。</w:t>
      </w:r>
    </w:p>
    <w:p w14:paraId="45BBDA53">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3、申报作品以申报表和20页PPT为主要评审材料，创业计划书或项目运营报告以及附件材料将作为重要的评审参考，每个学院选送参赛的项目总数不超过3件，其中每个组别至多2个；每人（每个团队）限报1个。</w:t>
      </w:r>
    </w:p>
    <w:p w14:paraId="7E62DC22">
      <w:pPr>
        <w:ind w:firstLine="539"/>
        <w:rPr>
          <w:rFonts w:hAnsi="Times New Roman" w:eastAsia="黑体" w:cs="Times New Roman"/>
          <w:sz w:val="32"/>
          <w:szCs w:val="28"/>
        </w:rPr>
      </w:pPr>
      <w:r>
        <w:rPr>
          <w:rFonts w:hAnsi="Times New Roman" w:eastAsia="黑体" w:cs="Times New Roman"/>
          <w:sz w:val="32"/>
          <w:szCs w:val="28"/>
        </w:rPr>
        <w:t>三、参赛作品要求</w:t>
      </w:r>
    </w:p>
    <w:p w14:paraId="36FC7A4C">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 xml:space="preserve">本届大学生创业计划竞赛聚焦创新、协调、绿色、开放、共享五大发展理念，设五个组别： </w:t>
      </w:r>
    </w:p>
    <w:p w14:paraId="798A2D0A">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1.科技创新和未来产业：围绕创新驱动发展战略，推动数字经济健康发展，在量子技术、元宇宙、智能制造、信息技术、大数据、人工智能、生命科学、新材料、军民融合等领域，结合实践观察设计项目。</w:t>
      </w:r>
    </w:p>
    <w:p w14:paraId="6A4C7913">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2.乡村振兴和农业农村现代化：围绕乡村振兴战略，在农林牧渔、电子商务、乡村旅游等领域，结合实践观察设计项目。</w:t>
      </w:r>
    </w:p>
    <w:p w14:paraId="066A50C9">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3.生态文明建设和绿色低碳发展：围绕绿色低碳发展和碳达峰碳中和目标，在绿色低碳产业、绿色消费、环境治理、可持续资源开发、生态环保、清洁能源应用等领域，结合实践观察设计项目。</w:t>
      </w:r>
    </w:p>
    <w:p w14:paraId="45873D4F">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4.文化创意和区域交流合作：突出共融、共享，紧密围绕“ 一带一路”和京津冀、长三角、粤港澳大湾区以及成渝地区双城经济圈、长江经济带和黄河流域等区域合作，或在工业设计、动漫广告、体育竞技和国际文化传播、对外交流培训、对外经贸等领域，  结合实践观察设计项目。</w:t>
      </w:r>
    </w:p>
    <w:p w14:paraId="0863A485">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5.社会治理和公共服务：围绕国家治理体系和治理能力现代化建设，在政务服务、消费生活、公共卫生与医疗服务、金融与财经法务、教育培训、交通物流、人力资源、城乡融合等领域，结合实践观察设计项目。</w:t>
      </w:r>
    </w:p>
    <w:p w14:paraId="407AB985">
      <w:pPr>
        <w:spacing w:line="560" w:lineRule="exact"/>
        <w:ind w:firstLine="561"/>
        <w:rPr>
          <w:rFonts w:hAnsi="Times New Roman" w:eastAsia="仿宋_GB2312" w:cs="Times New Roman"/>
          <w:b/>
          <w:bCs/>
          <w:sz w:val="32"/>
          <w:szCs w:val="28"/>
        </w:rPr>
      </w:pPr>
      <w:r>
        <w:rPr>
          <w:rFonts w:hAnsi="Times New Roman" w:eastAsia="仿宋_GB2312" w:cs="Times New Roman"/>
          <w:b/>
          <w:bCs/>
          <w:sz w:val="32"/>
          <w:szCs w:val="28"/>
        </w:rPr>
        <w:t>往届已获得“挑战杯”或“创青春”省级及以上创业竞赛奖项的项目不予再报。</w:t>
      </w:r>
    </w:p>
    <w:p w14:paraId="76CB5007">
      <w:pPr>
        <w:ind w:firstLine="539"/>
        <w:rPr>
          <w:rFonts w:hAnsi="Times New Roman" w:eastAsia="黑体" w:cs="Times New Roman"/>
          <w:sz w:val="32"/>
          <w:szCs w:val="28"/>
        </w:rPr>
      </w:pPr>
      <w:r>
        <w:rPr>
          <w:rFonts w:hAnsi="Times New Roman" w:eastAsia="黑体" w:cs="Times New Roman"/>
          <w:sz w:val="32"/>
          <w:szCs w:val="28"/>
        </w:rPr>
        <w:t xml:space="preserve">四、步骤与进程 </w:t>
      </w:r>
    </w:p>
    <w:p w14:paraId="5817224B">
      <w:pPr>
        <w:ind w:firstLine="561"/>
        <w:rPr>
          <w:rFonts w:hAnsi="Times New Roman" w:eastAsia="楷体_GB2312" w:cs="Times New Roman"/>
          <w:color w:val="333333"/>
          <w:sz w:val="32"/>
          <w:szCs w:val="32"/>
          <w:shd w:val="clear" w:color="auto" w:fill="FFFFFF"/>
          <w:lang w:bidi="ar"/>
        </w:rPr>
      </w:pPr>
      <w:r>
        <w:rPr>
          <w:rFonts w:hAnsi="Times New Roman" w:eastAsia="楷体_GB2312" w:cs="Times New Roman"/>
          <w:color w:val="333333"/>
          <w:sz w:val="32"/>
          <w:szCs w:val="32"/>
          <w:shd w:val="clear" w:color="auto" w:fill="FFFFFF"/>
          <w:lang w:bidi="ar"/>
        </w:rPr>
        <w:t>（一）组建培育、申报实施和学院初评阶段（</w:t>
      </w:r>
      <w:r>
        <w:rPr>
          <w:rFonts w:hint="eastAsia" w:hAnsi="Times New Roman" w:eastAsia="楷体_GB2312" w:cs="Times New Roman"/>
          <w:color w:val="333333"/>
          <w:sz w:val="32"/>
          <w:szCs w:val="32"/>
          <w:shd w:val="clear" w:color="auto" w:fill="FFFFFF"/>
          <w:lang w:bidi="ar"/>
        </w:rPr>
        <w:t>即日起</w:t>
      </w:r>
      <w:r>
        <w:rPr>
          <w:rFonts w:hAnsi="Times New Roman" w:eastAsia="楷体_GB2312" w:cs="Times New Roman"/>
          <w:color w:val="333333"/>
          <w:sz w:val="32"/>
          <w:szCs w:val="32"/>
          <w:shd w:val="clear" w:color="auto" w:fill="FFFFFF"/>
          <w:lang w:bidi="ar"/>
        </w:rPr>
        <w:t>至2024年10月）</w:t>
      </w:r>
    </w:p>
    <w:p w14:paraId="312F687A">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1、各学院于2024年9月前确定本学院申报咨询点，组织对学生组队、选题等事宜进行指导；</w:t>
      </w:r>
    </w:p>
    <w:p w14:paraId="1AE93E7F">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2、各学院于2024年10月前完成创业团队组建工作，并完善创业计划书和项目运营报告，组建本学院评审委员会，对参赛项目进行作者的资格及形式审查；</w:t>
      </w:r>
    </w:p>
    <w:p w14:paraId="4100D3E8">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3、各学院评审委员会于2024年10月底前完成对本学院作品申报的院级选拔赛，择优挑选至多3件作品，于2024年11月8日前，按有关通知的指定方式向校团委反馈创业赛的有关材料。</w:t>
      </w:r>
    </w:p>
    <w:p w14:paraId="301FD749">
      <w:pPr>
        <w:ind w:firstLine="561"/>
        <w:rPr>
          <w:rFonts w:hAnsi="Times New Roman" w:eastAsia="楷体_GB2312" w:cs="Times New Roman"/>
          <w:color w:val="333333"/>
          <w:sz w:val="32"/>
          <w:szCs w:val="32"/>
          <w:shd w:val="clear" w:color="auto" w:fill="FFFFFF"/>
          <w:lang w:bidi="ar"/>
        </w:rPr>
      </w:pPr>
      <w:r>
        <w:rPr>
          <w:rFonts w:hAnsi="Times New Roman" w:eastAsia="楷体_GB2312" w:cs="Times New Roman"/>
          <w:color w:val="333333"/>
          <w:sz w:val="32"/>
          <w:szCs w:val="32"/>
          <w:shd w:val="clear" w:color="auto" w:fill="FFFFFF"/>
          <w:lang w:bidi="ar"/>
        </w:rPr>
        <w:t>（二）书面评审、终审答辩阶段（2024年11月中旬至2024年12月中旬）</w:t>
      </w:r>
    </w:p>
    <w:p w14:paraId="2C086AA0">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1、2024年11月成立校评审委员会；</w:t>
      </w:r>
    </w:p>
    <w:p w14:paraId="7217A574">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 xml:space="preserve">2、2024年11月中旬校评审委员会对作品进行书面评审； </w:t>
      </w:r>
    </w:p>
    <w:p w14:paraId="39F3D711">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3、2024年12月中旬对入围终审决赛项目进行公开答辩，公布获奖情况及团体成绩。</w:t>
      </w:r>
    </w:p>
    <w:p w14:paraId="733FC03F">
      <w:pPr>
        <w:ind w:firstLine="539"/>
        <w:rPr>
          <w:rFonts w:hAnsi="Times New Roman" w:eastAsia="黑体" w:cs="Times New Roman"/>
          <w:sz w:val="32"/>
          <w:szCs w:val="28"/>
        </w:rPr>
      </w:pPr>
      <w:r>
        <w:rPr>
          <w:rFonts w:hAnsi="Times New Roman" w:eastAsia="黑体" w:cs="Times New Roman"/>
          <w:sz w:val="32"/>
          <w:szCs w:val="28"/>
        </w:rPr>
        <w:t>五、奖励办法</w:t>
      </w:r>
    </w:p>
    <w:p w14:paraId="63EA27FF">
      <w:pPr>
        <w:spacing w:line="560" w:lineRule="exact"/>
        <w:ind w:firstLine="561"/>
        <w:rPr>
          <w:rFonts w:hAnsi="Times New Roman" w:eastAsia="仿宋_GB2312" w:cs="Times New Roman"/>
          <w:sz w:val="32"/>
          <w:szCs w:val="28"/>
        </w:rPr>
      </w:pPr>
      <w:r>
        <w:rPr>
          <w:rFonts w:hAnsi="Times New Roman" w:eastAsia="仿宋_GB2312" w:cs="Times New Roman"/>
          <w:sz w:val="32"/>
          <w:szCs w:val="28"/>
        </w:rPr>
        <w:t> 学校评审委员会对参赛作品进行书面评审，评出90%左右的参赛作品入围获奖作品，评出入围作品中的50%获得铜奖，其余50%进入终审决赛。在终审决赛中评出金奖、银奖，其余部分获得铜奖，各等次奖分别约占各类入围作品总数的10%、20%和70%，不同参赛类别的作品分别按上述比例设奖。</w:t>
      </w:r>
    </w:p>
    <w:p w14:paraId="19273F52">
      <w:pPr>
        <w:spacing w:line="480" w:lineRule="exact"/>
        <w:rPr>
          <w:rFonts w:hAnsi="Times New Roman" w:eastAsia="仿宋_GB2312" w:cs="Times New Roman"/>
          <w:sz w:val="28"/>
          <w:szCs w:val="28"/>
        </w:rPr>
      </w:pPr>
    </w:p>
    <w:p w14:paraId="01213C65">
      <w:pPr>
        <w:spacing w:line="480" w:lineRule="exact"/>
        <w:rPr>
          <w:rFonts w:hAnsi="Times New Roman" w:eastAsia="仿宋_GB2312" w:cs="Times New Roman"/>
          <w:sz w:val="28"/>
          <w:szCs w:val="28"/>
        </w:rPr>
      </w:pPr>
    </w:p>
    <w:p w14:paraId="58F85523">
      <w:pPr>
        <w:spacing w:line="450" w:lineRule="exact"/>
        <w:ind w:right="560"/>
        <w:jc w:val="right"/>
        <w:rPr>
          <w:rFonts w:hAnsi="Times New Roman" w:eastAsia="仿宋_GB2312" w:cs="Times New Roman"/>
          <w:sz w:val="32"/>
          <w:szCs w:val="32"/>
        </w:rPr>
      </w:pPr>
      <w:r>
        <w:rPr>
          <w:rFonts w:hAnsi="Times New Roman" w:eastAsia="仿宋_GB2312" w:cs="Times New Roman"/>
          <w:sz w:val="32"/>
          <w:szCs w:val="32"/>
        </w:rPr>
        <w:t>共青团武汉理工大学委员会</w:t>
      </w:r>
    </w:p>
    <w:p w14:paraId="33B91741">
      <w:pPr>
        <w:spacing w:line="480" w:lineRule="exact"/>
        <w:ind w:right="560"/>
        <w:jc w:val="right"/>
        <w:rPr>
          <w:rFonts w:hAnsi="Times New Roman" w:eastAsia="仿宋_GB2312" w:cs="Times New Roman"/>
          <w:sz w:val="32"/>
          <w:szCs w:val="32"/>
        </w:rPr>
      </w:pPr>
      <w:r>
        <w:rPr>
          <w:rFonts w:hAnsi="Times New Roman" w:eastAsia="仿宋_GB2312" w:cs="Times New Roman"/>
          <w:sz w:val="32"/>
          <w:szCs w:val="32"/>
        </w:rPr>
        <w:t>二</w:t>
      </w:r>
      <w:r>
        <w:rPr>
          <w:rFonts w:hAnsi="Times New Roman" w:eastAsia="微软雅黑" w:cs="Times New Roman"/>
          <w:sz w:val="32"/>
          <w:szCs w:val="32"/>
        </w:rPr>
        <w:t>〇</w:t>
      </w:r>
      <w:r>
        <w:rPr>
          <w:rFonts w:hAnsi="Times New Roman" w:eastAsia="仿宋_GB2312" w:cs="Times New Roman"/>
          <w:sz w:val="32"/>
          <w:szCs w:val="21"/>
        </w:rPr>
        <w:t>二四</w:t>
      </w:r>
      <w:r>
        <w:rPr>
          <w:rFonts w:hAnsi="Times New Roman" w:eastAsia="仿宋_GB2312" w:cs="Times New Roman"/>
          <w:sz w:val="32"/>
          <w:szCs w:val="32"/>
        </w:rPr>
        <w:t>年九月二十</w:t>
      </w:r>
      <w:r>
        <w:rPr>
          <w:rFonts w:hint="eastAsia" w:hAnsi="Times New Roman" w:eastAsia="仿宋_GB2312" w:cs="Times New Roman"/>
          <w:sz w:val="32"/>
          <w:szCs w:val="32"/>
        </w:rPr>
        <w:t>七</w:t>
      </w:r>
      <w:r>
        <w:rPr>
          <w:rFonts w:hAnsi="Times New Roman" w:eastAsia="仿宋_GB2312" w:cs="Times New Roman"/>
          <w:sz w:val="32"/>
          <w:szCs w:val="32"/>
        </w:rPr>
        <w:t>日</w:t>
      </w:r>
    </w:p>
    <w:p w14:paraId="4427DFD7">
      <w:pPr>
        <w:spacing w:line="480" w:lineRule="exact"/>
        <w:jc w:val="right"/>
        <w:rPr>
          <w:rFonts w:hAnsi="Times New Roman" w:eastAsia="仿宋_GB2312" w:cs="Times New Roman"/>
          <w:sz w:val="28"/>
          <w:szCs w:val="28"/>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2A85EE-04BB-4421-9280-4F140632AF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A2AF1A3E-2A69-4A01-BD7B-84ADE7A773DF}"/>
  </w:font>
  <w:font w:name="仿宋_GB2312">
    <w:panose1 w:val="02010609030101010101"/>
    <w:charset w:val="86"/>
    <w:family w:val="modern"/>
    <w:pitch w:val="default"/>
    <w:sig w:usb0="00000001" w:usb1="080E0000" w:usb2="00000000" w:usb3="00000000" w:csb0="00040000" w:csb1="00000000"/>
    <w:embedRegular r:id="rId3" w:fontKey="{1A5A1385-2EC0-49A4-9408-186508784177}"/>
  </w:font>
  <w:font w:name="方正小标宋简体">
    <w:panose1 w:val="03000509000000000000"/>
    <w:charset w:val="86"/>
    <w:family w:val="auto"/>
    <w:pitch w:val="default"/>
    <w:sig w:usb0="00000001" w:usb1="080E0000" w:usb2="00000000" w:usb3="00000000" w:csb0="00040000" w:csb1="00000000"/>
    <w:embedRegular r:id="rId4" w:fontKey="{9F889E66-C033-4EF7-A681-FDACBF8B121F}"/>
  </w:font>
  <w:font w:name="楷体_GB2312">
    <w:panose1 w:val="02010609030101010101"/>
    <w:charset w:val="86"/>
    <w:family w:val="modern"/>
    <w:pitch w:val="default"/>
    <w:sig w:usb0="00000001" w:usb1="080E0000" w:usb2="00000000" w:usb3="00000000" w:csb0="00040000" w:csb1="00000000"/>
    <w:embedRegular r:id="rId5" w:fontKey="{E1AAEDEE-D6C9-4935-936D-33208F9B42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jJlNTQ5YTU2NzJjZWY3YTVkNjY0ODgzM2Y2NmYifQ=="/>
  </w:docVars>
  <w:rsids>
    <w:rsidRoot w:val="00304648"/>
    <w:rsid w:val="00304648"/>
    <w:rsid w:val="00B42A70"/>
    <w:rsid w:val="00B51467"/>
    <w:rsid w:val="00D01E60"/>
    <w:rsid w:val="06175254"/>
    <w:rsid w:val="18E611E1"/>
    <w:rsid w:val="20133EC9"/>
    <w:rsid w:val="2AC65D9E"/>
    <w:rsid w:val="2ADD35D5"/>
    <w:rsid w:val="3034062C"/>
    <w:rsid w:val="31B90D25"/>
    <w:rsid w:val="3CBC4D0F"/>
    <w:rsid w:val="3FB1113F"/>
    <w:rsid w:val="43A73816"/>
    <w:rsid w:val="4C4A325A"/>
    <w:rsid w:val="4E30022D"/>
    <w:rsid w:val="5320516A"/>
    <w:rsid w:val="621E1626"/>
    <w:rsid w:val="6FFBE03A"/>
    <w:rsid w:val="75DFBAF4"/>
    <w:rsid w:val="7FFF2E61"/>
    <w:rsid w:val="EF7F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lang w:val="en-US" w:eastAsia="zh-CN" w:bidi="ar-SA"/>
    </w:rPr>
  </w:style>
  <w:style w:type="paragraph" w:styleId="2">
    <w:name w:val="heading 1"/>
    <w:basedOn w:val="1"/>
    <w:qFormat/>
    <w:uiPriority w:val="0"/>
    <w:pPr>
      <w:spacing w:before="480"/>
      <w:outlineLvl w:val="0"/>
    </w:pPr>
    <w:rPr>
      <w:b/>
      <w:color w:val="345A8A"/>
      <w:sz w:val="32"/>
    </w:rPr>
  </w:style>
  <w:style w:type="paragraph" w:styleId="3">
    <w:name w:val="heading 2"/>
    <w:basedOn w:val="1"/>
    <w:qFormat/>
    <w:uiPriority w:val="0"/>
    <w:pPr>
      <w:spacing w:before="200"/>
      <w:outlineLvl w:val="1"/>
    </w:pPr>
    <w:rPr>
      <w:b/>
      <w:color w:val="4F81BD"/>
      <w:sz w:val="26"/>
    </w:rPr>
  </w:style>
  <w:style w:type="paragraph" w:styleId="4">
    <w:name w:val="heading 3"/>
    <w:basedOn w:val="1"/>
    <w:qFormat/>
    <w:uiPriority w:val="0"/>
    <w:pPr>
      <w:spacing w:before="200"/>
      <w:outlineLvl w:val="2"/>
    </w:pPr>
    <w:rPr>
      <w:b/>
      <w:color w:val="4F81BD"/>
      <w:sz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semiHidden/>
    <w:qFormat/>
    <w:uiPriority w:val="0"/>
    <w:rPr>
      <w:rFonts w:ascii="微软雅黑" w:hAnsi="微软雅黑" w:eastAsia="微软雅黑" w:cs="微软雅黑"/>
      <w:sz w:val="31"/>
      <w:szCs w:val="31"/>
      <w:lang w:eastAsia="en-US"/>
    </w:rPr>
  </w:style>
  <w:style w:type="paragraph" w:styleId="6">
    <w:name w:val="footer"/>
    <w:basedOn w:val="1"/>
    <w:link w:val="27"/>
    <w:unhideWhenUsed/>
    <w:qFormat/>
    <w:uiPriority w:val="99"/>
    <w:pPr>
      <w:tabs>
        <w:tab w:val="center" w:pos="4153"/>
        <w:tab w:val="right" w:pos="8306"/>
      </w:tabs>
      <w:snapToGrid w:val="0"/>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paragraph" w:customStyle="1" w:styleId="12">
    <w:name w:val="正文1"/>
    <w:qFormat/>
    <w:uiPriority w:val="0"/>
    <w:pPr>
      <w:jc w:val="both"/>
    </w:pPr>
    <w:rPr>
      <w:rFonts w:ascii="Times New Roman" w:hAnsiTheme="minorHAnsi" w:eastAsiaTheme="minorEastAsia" w:cstheme="minorBidi"/>
      <w:sz w:val="21"/>
      <w:szCs w:val="24"/>
      <w:lang w:val="en-US" w:eastAsia="zh-CN" w:bidi="ar-SA"/>
    </w:rPr>
  </w:style>
  <w:style w:type="character" w:customStyle="1" w:styleId="13">
    <w:name w:val="默认段落字体1"/>
    <w:qFormat/>
    <w:uiPriority w:val="0"/>
  </w:style>
  <w:style w:type="table" w:customStyle="1" w:styleId="14">
    <w:name w:val="普通表格1"/>
    <w:qFormat/>
    <w:uiPriority w:val="0"/>
    <w:tblPr>
      <w:tblCellMar>
        <w:top w:w="0" w:type="dxa"/>
        <w:left w:w="0" w:type="dxa"/>
        <w:bottom w:w="0" w:type="dxa"/>
        <w:right w:w="0" w:type="dxa"/>
      </w:tblCellMar>
    </w:tblPr>
  </w:style>
  <w:style w:type="paragraph" w:customStyle="1" w:styleId="15">
    <w:name w:val="批注框文本1"/>
    <w:basedOn w:val="12"/>
    <w:qFormat/>
    <w:uiPriority w:val="0"/>
    <w:rPr>
      <w:sz w:val="18"/>
      <w:szCs w:val="18"/>
    </w:rPr>
  </w:style>
  <w:style w:type="paragraph" w:customStyle="1" w:styleId="16">
    <w:name w:val="页脚1"/>
    <w:basedOn w:val="12"/>
    <w:qFormat/>
    <w:uiPriority w:val="0"/>
    <w:pPr>
      <w:jc w:val="left"/>
    </w:pPr>
    <w:rPr>
      <w:sz w:val="18"/>
      <w:szCs w:val="18"/>
    </w:rPr>
  </w:style>
  <w:style w:type="paragraph" w:customStyle="1" w:styleId="17">
    <w:name w:val="页眉1"/>
    <w:basedOn w:val="12"/>
    <w:qFormat/>
    <w:uiPriority w:val="0"/>
    <w:pPr>
      <w:pBdr>
        <w:bottom w:val="single" w:color="000000" w:sz="6" w:space="1"/>
      </w:pBdr>
      <w:jc w:val="center"/>
    </w:pPr>
    <w:rPr>
      <w:sz w:val="18"/>
      <w:szCs w:val="18"/>
    </w:rPr>
  </w:style>
  <w:style w:type="character" w:customStyle="1" w:styleId="18">
    <w:name w:val="页眉 字符"/>
    <w:qFormat/>
    <w:uiPriority w:val="0"/>
    <w:rPr>
      <w:sz w:val="18"/>
      <w:szCs w:val="18"/>
    </w:rPr>
  </w:style>
  <w:style w:type="paragraph" w:customStyle="1" w:styleId="19">
    <w:name w:val="普通(网站)1"/>
    <w:basedOn w:val="12"/>
    <w:qFormat/>
    <w:uiPriority w:val="0"/>
    <w:pPr>
      <w:jc w:val="left"/>
    </w:pPr>
    <w:rPr>
      <w:rFonts w:ascii="宋体" w:hAnsi="宋体"/>
      <w:sz w:val="24"/>
    </w:rPr>
  </w:style>
  <w:style w:type="character" w:customStyle="1" w:styleId="20">
    <w:name w:val="页码1"/>
    <w:qFormat/>
    <w:uiPriority w:val="0"/>
  </w:style>
  <w:style w:type="character" w:customStyle="1" w:styleId="21">
    <w:name w:val="apple-converted-space"/>
    <w:qFormat/>
    <w:uiPriority w:val="0"/>
  </w:style>
  <w:style w:type="character" w:customStyle="1" w:styleId="22">
    <w:name w:val="t_tag"/>
    <w:qFormat/>
    <w:uiPriority w:val="0"/>
  </w:style>
  <w:style w:type="paragraph" w:customStyle="1" w:styleId="23">
    <w:name w:val="Default"/>
    <w:qFormat/>
    <w:uiPriority w:val="0"/>
    <w:rPr>
      <w:rFonts w:ascii="Times New Roman" w:hAnsiTheme="minorHAnsi" w:eastAsiaTheme="minorEastAsia" w:cstheme="minorBidi"/>
      <w:color w:val="000000"/>
      <w:sz w:val="24"/>
      <w:szCs w:val="24"/>
      <w:lang w:val="en-US" w:eastAsia="zh-CN" w:bidi="ar-SA"/>
    </w:rPr>
  </w:style>
  <w:style w:type="paragraph" w:customStyle="1" w:styleId="24">
    <w:name w:val="Char Char Char3"/>
    <w:basedOn w:val="12"/>
    <w:qFormat/>
    <w:uiPriority w:val="0"/>
    <w:rPr>
      <w:rFonts w:ascii="宋体" w:hAnsi="宋体"/>
      <w:sz w:val="32"/>
      <w:szCs w:val="32"/>
    </w:rPr>
  </w:style>
  <w:style w:type="paragraph" w:customStyle="1" w:styleId="25">
    <w:name w:val="修订1"/>
    <w:qFormat/>
    <w:uiPriority w:val="0"/>
    <w:rPr>
      <w:rFonts w:ascii="Times New Roman" w:hAnsiTheme="minorHAnsi" w:eastAsiaTheme="minorEastAsia" w:cstheme="minorBidi"/>
      <w:sz w:val="21"/>
      <w:szCs w:val="24"/>
      <w:lang w:val="en-US" w:eastAsia="zh-CN" w:bidi="ar-SA"/>
    </w:rPr>
  </w:style>
  <w:style w:type="character" w:customStyle="1" w:styleId="26">
    <w:name w:val="页眉 字符1"/>
    <w:basedOn w:val="11"/>
    <w:link w:val="7"/>
    <w:qFormat/>
    <w:uiPriority w:val="99"/>
    <w:rPr>
      <w:sz w:val="18"/>
      <w:szCs w:val="18"/>
    </w:rPr>
  </w:style>
  <w:style w:type="character" w:customStyle="1" w:styleId="27">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1831</Words>
  <Characters>1896</Characters>
  <Lines>13</Lines>
  <Paragraphs>3</Paragraphs>
  <TotalTime>2</TotalTime>
  <ScaleCrop>false</ScaleCrop>
  <LinksUpToDate>false</LinksUpToDate>
  <CharactersWithSpaces>1904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2007-05-01T11:01:00Z</dcterms:created>
  <dc:creator>Little  Monkey</dc:creator>
  <cp:lastModifiedBy>WPS_1657785069</cp:lastModifiedBy>
  <dcterms:modified xsi:type="dcterms:W3CDTF">2024-10-21T13:20:54Z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6C790A3A960D40CFAB746B9219425596_13</vt:lpwstr>
  </property>
</Properties>
</file>